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 января 2021 года действуют новые Санитарно-эпидемиологические требования к организации общественного питания населения </w:t>
      </w:r>
      <w:bookmarkEnd w:id="0"/>
      <w:r w:rsidRPr="003C031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(</w:t>
      </w:r>
      <w:hyperlink r:id="rId6" w:anchor="block_1000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СанПиН 2.3/2.4.3590-20</w:t>
        </w:r>
      </w:hyperlink>
      <w:r w:rsidRPr="003C031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)</w:t>
      </w: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одним из разделов которых </w:t>
      </w:r>
      <w:hyperlink r:id="rId7" w:anchor="block_1800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установлены</w:t>
        </w:r>
      </w:hyperlink>
      <w:r w:rsidRPr="003C031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</w:t>
      </w:r>
      <w:r w:rsidRPr="003C0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организации общественного питания детей</w:t>
      </w: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том числе в организациях, осуществляющих образовательную деятельность.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ими предусмотрено, что в эндемичных по недостатку отдельных микроэлементов регионах в меню </w:t>
      </w:r>
      <w:hyperlink r:id="rId8" w:anchor="block_1816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должна</w:t>
        </w:r>
      </w:hyperlink>
      <w:r w:rsidRPr="003C031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</w:t>
      </w: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 Замена витаминизации блюд выдачей детям поливитаминных препаратов не допускается. В целях профилактики </w:t>
      </w:r>
      <w:proofErr w:type="spellStart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йододефицитных</w:t>
      </w:r>
      <w:proofErr w:type="spellEnd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состояний у детей должна использоваться соль поваренная пищевая йодированная при приготовлении блюд и кулинарных изделий.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школьных буфетах по-прежнему </w:t>
      </w:r>
      <w:hyperlink r:id="rId9" w:anchor="block_1831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запрещается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продавать пирожные с кремом, карамель и леденцы, кофе, </w:t>
      </w:r>
      <w:proofErr w:type="gramStart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картофель-фри</w:t>
      </w:r>
      <w:proofErr w:type="gramEnd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квас, газировку, тонизирующие напитки, жевательную резинку и некоторые другие продукты. Кроме того, в обновленный перечень запрещенных продуктов </w:t>
      </w:r>
      <w:hyperlink r:id="rId10" w:anchor="block_16041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вошли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картофельные и кукурузные чипсы, снеки.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 </w:t>
      </w:r>
      <w:hyperlink r:id="rId11" w:anchor="block_1818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допускается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использовать набор пищевой продукции ("сухой паек"), свыше 4 часов (за исключением ночного времени с 23.00 до 7.00) – должно быть организовано горячее питание.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Закреплены требования к организации питьевого режима. </w:t>
      </w:r>
      <w:hyperlink r:id="rId12" w:anchor="block_1846" w:tgtFrame="_blank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Предусмотрено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3C031D" w:rsidRPr="003C031D" w:rsidRDefault="003C031D" w:rsidP="003C031D">
      <w:pPr>
        <w:shd w:val="clear" w:color="auto" w:fill="0060A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4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  <w:proofErr w:type="spellStart"/>
      <w:r w:rsidRPr="003C0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Коронавирусные</w:t>
      </w:r>
      <w:proofErr w:type="spellEnd"/>
      <w:r w:rsidRPr="003C0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 санитарно-эпидемиологические требования</w:t>
      </w: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 организации работы образовательных организаций и других объектов социальной инфраструктуры для детей и молодежи </w:t>
      </w:r>
      <w:r w:rsidRPr="003C031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(</w:t>
      </w:r>
      <w:hyperlink r:id="rId13" w:anchor="block_1000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СП 3.1/2.4.3598-20</w:t>
        </w:r>
      </w:hyperlink>
      <w:r w:rsidRPr="003C031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)</w:t>
      </w:r>
      <w:r w:rsidRPr="003C03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 </w:t>
      </w:r>
      <w:hyperlink r:id="rId14" w:anchor="block_3" w:tgtFrame="_blank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действовать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весь 2021 год – до 1 января 2022 года.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Напомним, что ими </w:t>
      </w:r>
      <w:hyperlink r:id="rId15" w:anchor="block_1302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предусмотрено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том числе:</w:t>
      </w:r>
    </w:p>
    <w:p w:rsidR="003C031D" w:rsidRPr="003C031D" w:rsidRDefault="003C031D" w:rsidP="003C031D">
      <w:pPr>
        <w:numPr>
          <w:ilvl w:val="0"/>
          <w:numId w:val="1"/>
        </w:numPr>
        <w:shd w:val="clear" w:color="auto" w:fill="FFFFFF"/>
        <w:spacing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закрепление за каждым классом отдельного учебного кабинета, в котором дети обучаются по всем предметам (исключение – физкультура, </w:t>
      </w:r>
      <w:proofErr w:type="gramStart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</w:t>
      </w:r>
      <w:proofErr w:type="gramEnd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труд, физика, химия);</w:t>
      </w:r>
    </w:p>
    <w:p w:rsidR="003C031D" w:rsidRPr="003C031D" w:rsidRDefault="003C031D" w:rsidP="003C031D">
      <w:pPr>
        <w:numPr>
          <w:ilvl w:val="0"/>
          <w:numId w:val="1"/>
        </w:numPr>
        <w:shd w:val="clear" w:color="auto" w:fill="FFFFFF"/>
        <w:spacing w:before="60"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специально составленное расписание и график уроков и перемен, </w:t>
      </w:r>
      <w:proofErr w:type="spellStart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минимизирующее</w:t>
      </w:r>
      <w:proofErr w:type="spellEnd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контакты обучающихся, в том числе во время проведения термометрии, приема пищи в столовой;</w:t>
      </w:r>
    </w:p>
    <w:p w:rsidR="003C031D" w:rsidRPr="003C031D" w:rsidRDefault="003C031D" w:rsidP="003C031D">
      <w:pPr>
        <w:numPr>
          <w:ilvl w:val="0"/>
          <w:numId w:val="1"/>
        </w:numPr>
        <w:shd w:val="clear" w:color="auto" w:fill="FFFFFF"/>
        <w:spacing w:before="60" w:after="0" w:line="27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обязательное проветривание рекреаций и коридоров помещений общеобразовательных организаций во время уроков, а учебных кабинетов – во время перемен.</w:t>
      </w:r>
    </w:p>
    <w:p w:rsidR="003C031D" w:rsidRPr="003C031D" w:rsidRDefault="003C031D" w:rsidP="003C031D">
      <w:pPr>
        <w:shd w:val="clear" w:color="auto" w:fill="0060A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5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января 2021 года вступил в силу новый </w:t>
      </w:r>
      <w:hyperlink r:id="rId16" w:anchor="block_1000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Порядок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C0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заполнения, учета и выдачи аттестатов</w:t>
      </w: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об основном общем и среднем общем образовании и их дубликатов. </w:t>
      </w:r>
      <w:proofErr w:type="gramStart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Им, в частности, </w:t>
      </w:r>
      <w:hyperlink r:id="rId17" w:anchor="block_1053212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предусмотрено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допускается указывать по учебным предметам "Изобразительное искусство", "Музыка" и "Физическая культура" отметку "зачтено".</w:t>
      </w:r>
      <w:proofErr w:type="gramEnd"/>
    </w:p>
    <w:p w:rsidR="003C031D" w:rsidRPr="003C031D" w:rsidRDefault="003C031D" w:rsidP="003C031D">
      <w:pPr>
        <w:shd w:val="clear" w:color="auto" w:fill="0060A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6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января 2021 года </w:t>
      </w:r>
      <w:hyperlink r:id="rId18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вступили в силу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изменения в </w:t>
      </w:r>
      <w:hyperlink r:id="rId19" w:anchor="block_50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п. 12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Федерального государственного образовательного стандарта среднего общего образования.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учебный </w:t>
      </w:r>
      <w:r w:rsidRPr="003C0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 "Иностранный язык" исключен</w:t>
      </w: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числа обязательных учебных предметов, по которым проводится государственная итоговая аттестация по образовательным программам среднего общего образования (ранее предполагалось, что в обязательном порядке его начнут сдавать с 2022 года – после завершения полного перехода старшей школы на федеральные государственные образовательные стандарты общего образования).</w:t>
      </w:r>
    </w:p>
    <w:p w:rsidR="003C031D" w:rsidRPr="003C031D" w:rsidRDefault="003C031D" w:rsidP="003C031D">
      <w:pPr>
        <w:shd w:val="clear" w:color="auto" w:fill="0060A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7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Из-за сложной эпидемиологической обстановки </w:t>
      </w:r>
      <w:r w:rsidRPr="003C0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экзамены у выпускников школ в 2021</w:t>
      </w: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году скорее всего будут проходить с некоторыми особенностями. О соответствующих решениях </w:t>
      </w:r>
      <w:hyperlink r:id="rId20" w:tgtFrame="_blank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объявили</w:t>
        </w:r>
      </w:hyperlink>
      <w:r w:rsidRPr="003C031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</w:t>
      </w: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декабре </w:t>
      </w:r>
      <w:proofErr w:type="spellStart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и </w:t>
      </w:r>
      <w:proofErr w:type="spellStart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Рособрнадзор</w:t>
      </w:r>
      <w:proofErr w:type="spellEnd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Итоговое сочинение для 11-классников </w:t>
      </w:r>
      <w:hyperlink r:id="rId21" w:anchor="block_12" w:tgtFrame="_blank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пройдет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 апреля 2021 года. А итоговое собеседование по русскому языку, которое является допуском к государственной итоговой аттестации для выпускников 9 классов, при сохранении неблагоприятной эпидемиологической обстановки, возможно, </w:t>
      </w:r>
      <w:hyperlink r:id="rId22" w:tgtFrame="_blank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будет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проведено в дистанционном формате.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не пропустите:</w:t>
      </w: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подать заявление на участие в ГИА-11 нужно до 1 февраля 2021 года, на участие в ГИА-9 – до 1 марта 2021 года.</w:t>
      </w:r>
    </w:p>
    <w:p w:rsidR="003C031D" w:rsidRPr="003C031D" w:rsidRDefault="003C031D" w:rsidP="003C031D">
      <w:pPr>
        <w:shd w:val="clear" w:color="auto" w:fill="0060A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8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1 сентября 2021 года образовательные организации </w:t>
      </w:r>
      <w:hyperlink r:id="rId23" w:anchor="block_22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должны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(если еще не сделали этого) утвердить примерные рабочие программы воспитания и </w:t>
      </w:r>
      <w:r w:rsidRPr="003C0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примерный календарный план воспитательной работы</w:t>
      </w: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включить их в свои образовательные программы. В их разработке вправе принимать </w:t>
      </w: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участие советы обучающихся, советы родителей, представительные органы обучающихся (при их наличии).</w:t>
      </w:r>
    </w:p>
    <w:p w:rsidR="003C031D" w:rsidRPr="003C031D" w:rsidRDefault="003C031D" w:rsidP="003C031D">
      <w:pPr>
        <w:shd w:val="clear" w:color="auto" w:fill="0060A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9</w:t>
      </w:r>
    </w:p>
    <w:p w:rsidR="003C031D" w:rsidRPr="003C031D" w:rsidRDefault="003C031D" w:rsidP="003C031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 </w:t>
      </w:r>
      <w:r w:rsidRPr="003C0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прием в вузы</w:t>
      </w:r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этом году тоже будет проводиться по </w:t>
      </w:r>
      <w:hyperlink r:id="rId24" w:anchor="block_1000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новым правилам</w:t>
        </w:r>
      </w:hyperlink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зачисление пройдет в одну "волну", а </w:t>
      </w:r>
      <w:proofErr w:type="spellStart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мониторить</w:t>
      </w:r>
      <w:proofErr w:type="spellEnd"/>
      <w:r w:rsidRPr="003C0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списки поступающих станет сложнее (вместо ФИО там укажут СНИЛС). Но об этом – уже в </w:t>
      </w:r>
      <w:hyperlink r:id="rId25" w:anchor="/document/77261069/paragraph/1:0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нашем специальном обзоре</w:t>
        </w:r>
      </w:hyperlink>
      <w:r w:rsidRPr="003C031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</w:p>
    <w:p w:rsidR="003C031D" w:rsidRPr="003C031D" w:rsidRDefault="003C031D" w:rsidP="003C03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Теги: </w:t>
      </w:r>
      <w:hyperlink r:id="rId26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bdr w:val="none" w:sz="0" w:space="0" w:color="auto" w:frame="1"/>
            <w:lang w:eastAsia="ru-RU"/>
          </w:rPr>
          <w:t>2021</w:t>
        </w:r>
      </w:hyperlink>
      <w:r w:rsidRPr="003C031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, </w:t>
      </w:r>
      <w:hyperlink r:id="rId27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bdr w:val="none" w:sz="0" w:space="0" w:color="auto" w:frame="1"/>
            <w:lang w:eastAsia="ru-RU"/>
          </w:rPr>
          <w:t>образование и наука</w:t>
        </w:r>
      </w:hyperlink>
      <w:r w:rsidRPr="003C031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, </w:t>
      </w:r>
      <w:hyperlink r:id="rId28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bdr w:val="none" w:sz="0" w:space="0" w:color="auto" w:frame="1"/>
            <w:lang w:eastAsia="ru-RU"/>
          </w:rPr>
          <w:t>физлица</w:t>
        </w:r>
      </w:hyperlink>
      <w:r w:rsidRPr="003C031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, </w:t>
      </w:r>
      <w:hyperlink r:id="rId29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bdr w:val="none" w:sz="0" w:space="0" w:color="auto" w:frame="1"/>
            <w:lang w:eastAsia="ru-RU"/>
          </w:rPr>
          <w:t>формы документов</w:t>
        </w:r>
      </w:hyperlink>
      <w:r w:rsidRPr="003C031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, </w:t>
      </w:r>
      <w:proofErr w:type="spellStart"/>
      <w:r w:rsidRPr="003C031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fldChar w:fldCharType="begin"/>
      </w:r>
      <w:r w:rsidRPr="003C031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instrText xml:space="preserve"> HYPERLINK "https://www.garant.ru/ia/aggregator/?tag_id=3945" </w:instrText>
      </w:r>
      <w:r w:rsidRPr="003C031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fldChar w:fldCharType="separate"/>
      </w:r>
      <w:r w:rsidRPr="003C031D"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Минпросвещения</w:t>
      </w:r>
      <w:proofErr w:type="spellEnd"/>
      <w:r w:rsidRPr="003C031D"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 xml:space="preserve"> России</w:t>
      </w:r>
      <w:r w:rsidRPr="003C031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fldChar w:fldCharType="end"/>
      </w:r>
    </w:p>
    <w:p w:rsidR="003C031D" w:rsidRPr="003C031D" w:rsidRDefault="003C031D" w:rsidP="003C03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C03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Источник: </w:t>
      </w:r>
      <w:hyperlink r:id="rId30" w:history="1">
        <w:r w:rsidRPr="003C031D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bdr w:val="none" w:sz="0" w:space="0" w:color="auto" w:frame="1"/>
            <w:lang w:eastAsia="ru-RU"/>
          </w:rPr>
          <w:t>Система ГАРАНТ</w:t>
        </w:r>
      </w:hyperlink>
    </w:p>
    <w:p w:rsidR="00202F45" w:rsidRDefault="00202F45"/>
    <w:sectPr w:rsidR="0020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97AE8"/>
    <w:multiLevelType w:val="multilevel"/>
    <w:tmpl w:val="B47C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7"/>
    <w:rsid w:val="00066077"/>
    <w:rsid w:val="00202F45"/>
    <w:rsid w:val="002360E8"/>
    <w:rsid w:val="003C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2477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9939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39487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5227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38465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7445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4831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74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44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4505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0683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7070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5092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71487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7413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18806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05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80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4891586/53f89421bbdaf741eb2d1ecc4ddb4c33/" TargetMode="External"/><Relationship Id="rId13" Type="http://schemas.openxmlformats.org/officeDocument/2006/relationships/hyperlink" Target="http://base.garant.ru/74336682/53f89421bbdaf741eb2d1ecc4ddb4c33/" TargetMode="External"/><Relationship Id="rId18" Type="http://schemas.openxmlformats.org/officeDocument/2006/relationships/hyperlink" Target="http://base.garant.ru/400118822/" TargetMode="External"/><Relationship Id="rId26" Type="http://schemas.openxmlformats.org/officeDocument/2006/relationships/hyperlink" Target="https://www.garant.ru/ia/aggregator/?tag_id=412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74950246/" TargetMode="External"/><Relationship Id="rId7" Type="http://schemas.openxmlformats.org/officeDocument/2006/relationships/hyperlink" Target="http://base.garant.ru/74891586/53f89421bbdaf741eb2d1ecc4ddb4c33/" TargetMode="External"/><Relationship Id="rId12" Type="http://schemas.openxmlformats.org/officeDocument/2006/relationships/hyperlink" Target="http://base.garant.ru/74891586/53f89421bbdaf741eb2d1ecc4ddb4c33/" TargetMode="External"/><Relationship Id="rId17" Type="http://schemas.openxmlformats.org/officeDocument/2006/relationships/hyperlink" Target="http://base.garant.ru/400110676/53f89421bbdaf741eb2d1ecc4ddb4c33/" TargetMode="External"/><Relationship Id="rId25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400110676/53f89421bbdaf741eb2d1ecc4ddb4c33/" TargetMode="External"/><Relationship Id="rId20" Type="http://schemas.openxmlformats.org/officeDocument/2006/relationships/hyperlink" Target="http://base.garant.ru/400128378/" TargetMode="External"/><Relationship Id="rId29" Type="http://schemas.openxmlformats.org/officeDocument/2006/relationships/hyperlink" Target="https://www.garant.ru/ia/aggregator/?tag_id=2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4891586/53f89421bbdaf741eb2d1ecc4ddb4c33/" TargetMode="External"/><Relationship Id="rId11" Type="http://schemas.openxmlformats.org/officeDocument/2006/relationships/hyperlink" Target="http://base.garant.ru/74891586/53f89421bbdaf741eb2d1ecc4ddb4c33/" TargetMode="External"/><Relationship Id="rId24" Type="http://schemas.openxmlformats.org/officeDocument/2006/relationships/hyperlink" Target="http://base.garant.ru/74541661/53f89421bbdaf741eb2d1ecc4ddb4c33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4336682/53f89421bbdaf741eb2d1ecc4ddb4c33/" TargetMode="External"/><Relationship Id="rId23" Type="http://schemas.openxmlformats.org/officeDocument/2006/relationships/hyperlink" Target="http://base.garant.ru/74451950/741609f9002bd54a24e5c49cb5af953b/" TargetMode="External"/><Relationship Id="rId28" Type="http://schemas.openxmlformats.org/officeDocument/2006/relationships/hyperlink" Target="https://www.garant.ru/ia/aggregator/?tag_id=2415" TargetMode="External"/><Relationship Id="rId10" Type="http://schemas.openxmlformats.org/officeDocument/2006/relationships/hyperlink" Target="http://base.garant.ru/74891586/a561883a869c3f065f67e98041daebaa/" TargetMode="External"/><Relationship Id="rId19" Type="http://schemas.openxmlformats.org/officeDocument/2006/relationships/hyperlink" Target="http://base.garant.ru/70188902/8ef641d3b80ff01d34be16ce9bafc6e0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74891586/53f89421bbdaf741eb2d1ecc4ddb4c33/" TargetMode="External"/><Relationship Id="rId14" Type="http://schemas.openxmlformats.org/officeDocument/2006/relationships/hyperlink" Target="http://base.garant.ru/74336682/" TargetMode="External"/><Relationship Id="rId22" Type="http://schemas.openxmlformats.org/officeDocument/2006/relationships/hyperlink" Target="http://base.garant.ru/74929048/" TargetMode="External"/><Relationship Id="rId27" Type="http://schemas.openxmlformats.org/officeDocument/2006/relationships/hyperlink" Target="https://www.garant.ru/ia/aggregator/?tag_id=262" TargetMode="External"/><Relationship Id="rId30" Type="http://schemas.openxmlformats.org/officeDocument/2006/relationships/hyperlink" Target="https://www.garant.ru/news/source/46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Харитоновна</dc:creator>
  <cp:keywords/>
  <dc:description/>
  <cp:lastModifiedBy>Зарема Харитоновна</cp:lastModifiedBy>
  <cp:revision>3</cp:revision>
  <dcterms:created xsi:type="dcterms:W3CDTF">2021-03-22T16:03:00Z</dcterms:created>
  <dcterms:modified xsi:type="dcterms:W3CDTF">2021-03-22T16:11:00Z</dcterms:modified>
</cp:coreProperties>
</file>